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2B8D" w14:textId="77777777" w:rsidR="00FE067E" w:rsidRDefault="00CD36CF" w:rsidP="00CC1F3B">
      <w:pPr>
        <w:pStyle w:val="TitlePageOrigin"/>
      </w:pPr>
      <w:r>
        <w:t>WEST virginia legislature</w:t>
      </w:r>
    </w:p>
    <w:p w14:paraId="3FA36E4E" w14:textId="77777777" w:rsidR="00CD36CF" w:rsidRDefault="00CD36CF" w:rsidP="00CC1F3B">
      <w:pPr>
        <w:pStyle w:val="TitlePageSession"/>
      </w:pPr>
      <w:r>
        <w:t>20</w:t>
      </w:r>
      <w:r w:rsidR="00841332">
        <w:t>25</w:t>
      </w:r>
      <w:r>
        <w:t xml:space="preserve"> regular session</w:t>
      </w:r>
    </w:p>
    <w:p w14:paraId="7BCB7502" w14:textId="77777777" w:rsidR="00CD36CF" w:rsidRDefault="00E8656C" w:rsidP="00CC1F3B">
      <w:pPr>
        <w:pStyle w:val="TitlePageBillPrefix"/>
      </w:pPr>
      <w:sdt>
        <w:sdtPr>
          <w:tag w:val="IntroDate"/>
          <w:id w:val="-1236936958"/>
          <w:placeholder>
            <w:docPart w:val="B9EA8DD78BBB47D99C2E5135E8D6BDF2"/>
          </w:placeholder>
          <w:text/>
        </w:sdtPr>
        <w:sdtEndPr/>
        <w:sdtContent>
          <w:r w:rsidR="00AE48A0">
            <w:t>Introduced</w:t>
          </w:r>
        </w:sdtContent>
      </w:sdt>
    </w:p>
    <w:p w14:paraId="4754C34A" w14:textId="5A60F493" w:rsidR="00CD36CF" w:rsidRDefault="00E8656C" w:rsidP="00CC1F3B">
      <w:pPr>
        <w:pStyle w:val="BillNumber"/>
      </w:pPr>
      <w:sdt>
        <w:sdtPr>
          <w:tag w:val="Chamber"/>
          <w:id w:val="893011969"/>
          <w:lock w:val="sdtLocked"/>
          <w:placeholder>
            <w:docPart w:val="90ED21B8C208488AA9A30ED369FBDE42"/>
          </w:placeholder>
          <w:dropDownList>
            <w:listItem w:displayText="House" w:value="House"/>
            <w:listItem w:displayText="Senate" w:value="Senate"/>
          </w:dropDownList>
        </w:sdtPr>
        <w:sdtEndPr/>
        <w:sdtContent>
          <w:r w:rsidR="00EC2E08">
            <w:t>Senate</w:t>
          </w:r>
        </w:sdtContent>
      </w:sdt>
      <w:r w:rsidR="00303684">
        <w:t xml:space="preserve"> </w:t>
      </w:r>
      <w:r w:rsidR="00CD36CF">
        <w:t xml:space="preserve">Bill </w:t>
      </w:r>
      <w:sdt>
        <w:sdtPr>
          <w:tag w:val="BNum"/>
          <w:id w:val="1645317809"/>
          <w:lock w:val="sdtLocked"/>
          <w:placeholder>
            <w:docPart w:val="7811535F7CDE41D285FE6005AAA4A0FE"/>
          </w:placeholder>
          <w:text/>
        </w:sdtPr>
        <w:sdtEndPr/>
        <w:sdtContent>
          <w:r w:rsidR="00AF0923">
            <w:t>88</w:t>
          </w:r>
          <w:r w:rsidR="0061469F">
            <w:t>1</w:t>
          </w:r>
        </w:sdtContent>
      </w:sdt>
    </w:p>
    <w:p w14:paraId="19D4C793" w14:textId="157C6895" w:rsidR="00CD36CF" w:rsidRDefault="00CD36CF" w:rsidP="00CC1F3B">
      <w:pPr>
        <w:pStyle w:val="Sponsors"/>
      </w:pPr>
      <w:r>
        <w:t xml:space="preserve">By </w:t>
      </w:r>
      <w:sdt>
        <w:sdtPr>
          <w:tag w:val="Sponsors"/>
          <w:id w:val="1589585889"/>
          <w:placeholder>
            <w:docPart w:val="CA2378CF8FE04AE3838A0DED22C4B9B3"/>
          </w:placeholder>
          <w:text w:multiLine="1"/>
        </w:sdtPr>
        <w:sdtEndPr/>
        <w:sdtContent>
          <w:r w:rsidR="00EC2E08">
            <w:t>Senator</w:t>
          </w:r>
          <w:r w:rsidR="00204FD4">
            <w:t xml:space="preserve">s </w:t>
          </w:r>
          <w:r w:rsidR="00EC2E08">
            <w:t>Woodrum</w:t>
          </w:r>
          <w:r w:rsidR="00E8656C">
            <w:t xml:space="preserve">, </w:t>
          </w:r>
          <w:r w:rsidR="00204FD4">
            <w:t>Oliverio</w:t>
          </w:r>
        </w:sdtContent>
      </w:sdt>
      <w:r w:rsidR="00E8656C">
        <w:t>, and Woelfel</w:t>
      </w:r>
    </w:p>
    <w:p w14:paraId="12F91624" w14:textId="501C9F69" w:rsidR="00E831B3" w:rsidRDefault="00CD36CF" w:rsidP="00CC1F3B">
      <w:pPr>
        <w:pStyle w:val="References"/>
      </w:pPr>
      <w:r>
        <w:t>[</w:t>
      </w:r>
      <w:sdt>
        <w:sdtPr>
          <w:tag w:val="References"/>
          <w:id w:val="-1043047873"/>
          <w:placeholder>
            <w:docPart w:val="CDE2A8BFB334449CB29AF7A8F5ECA656"/>
          </w:placeholder>
          <w:text w:multiLine="1"/>
        </w:sdtPr>
        <w:sdtEndPr/>
        <w:sdtContent>
          <w:r w:rsidR="00AF0923" w:rsidRPr="00AF0923">
            <w:t xml:space="preserve">Introduced March 24, 2025; referred </w:t>
          </w:r>
          <w:r w:rsidR="00AF0923" w:rsidRPr="00AF0923">
            <w:br/>
            <w:t>to the Committee on</w:t>
          </w:r>
          <w:r w:rsidR="00A6308E">
            <w:t xml:space="preserve"> Education; and then to the Committee on Government Organization</w:t>
          </w:r>
        </w:sdtContent>
      </w:sdt>
      <w:r>
        <w:t>]</w:t>
      </w:r>
    </w:p>
    <w:p w14:paraId="78D31E58" w14:textId="66119DAD" w:rsidR="00303684" w:rsidRDefault="0000526A" w:rsidP="00CC1F3B">
      <w:pPr>
        <w:pStyle w:val="TitleSection"/>
      </w:pPr>
      <w:r>
        <w:lastRenderedPageBreak/>
        <w:t>A BILL</w:t>
      </w:r>
      <w:r w:rsidR="00B3122E">
        <w:t xml:space="preserve"> </w:t>
      </w:r>
      <w:r w:rsidR="00B3122E" w:rsidRPr="00B3122E">
        <w:t>to amend and reenact §18B-</w:t>
      </w:r>
      <w:r w:rsidR="00EC2E08">
        <w:t>19</w:t>
      </w:r>
      <w:r w:rsidR="00B3122E" w:rsidRPr="00B3122E">
        <w:t>-</w:t>
      </w:r>
      <w:r w:rsidR="00EC2E08">
        <w:t>10</w:t>
      </w:r>
      <w:r w:rsidR="00B3122E" w:rsidRPr="00B3122E">
        <w:t xml:space="preserve"> of the Code of West Virginia, 1931, as amended</w:t>
      </w:r>
      <w:r w:rsidR="0061469F">
        <w:t xml:space="preserve">, </w:t>
      </w:r>
      <w:r w:rsidR="00B3122E">
        <w:t xml:space="preserve"> relating to modifying the authority of the Higher Education Policy Commission, </w:t>
      </w:r>
      <w:r w:rsidR="00B3122E" w:rsidRPr="00B3122E">
        <w:t>Council for Community and Technical College Education</w:t>
      </w:r>
      <w:r w:rsidR="00B3122E">
        <w:t xml:space="preserve">, and institutions of higher education to sell and transfer property. </w:t>
      </w:r>
    </w:p>
    <w:p w14:paraId="564009CF" w14:textId="77777777" w:rsidR="00303684" w:rsidRDefault="00303684" w:rsidP="00CC1F3B">
      <w:pPr>
        <w:pStyle w:val="EnactingClause"/>
        <w:sectPr w:rsidR="00303684" w:rsidSect="00813F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11EDB30" w14:textId="77777777" w:rsidR="00813FAC" w:rsidRDefault="00813FAC" w:rsidP="005364E6">
      <w:pPr>
        <w:pStyle w:val="ArticleHeading"/>
        <w:sectPr w:rsidR="00813FAC" w:rsidSect="00813FAC">
          <w:type w:val="continuous"/>
          <w:pgSz w:w="12240" w:h="15840" w:code="1"/>
          <w:pgMar w:top="1440" w:right="1440" w:bottom="1440" w:left="1440" w:header="720" w:footer="720" w:gutter="0"/>
          <w:lnNumType w:countBy="1" w:restart="newSection"/>
          <w:cols w:space="720"/>
          <w:titlePg/>
          <w:docGrid w:linePitch="360"/>
        </w:sectPr>
      </w:pPr>
      <w:r>
        <w:t>ARTICLE 19. CAPITAL PROJECTS AND FACILITIES NEEDS.</w:t>
      </w:r>
    </w:p>
    <w:p w14:paraId="71C51CFE" w14:textId="0F151BAE" w:rsidR="00841332" w:rsidRDefault="00841332" w:rsidP="00841332">
      <w:pPr>
        <w:pStyle w:val="SectionHeading"/>
      </w:pPr>
      <w:r w:rsidRPr="00841332">
        <w:t>§18B-19-10. Authorization to sell and transfer property; use of proceeds.</w:t>
      </w:r>
    </w:p>
    <w:p w14:paraId="7C86665D" w14:textId="77777777" w:rsidR="00D44A32" w:rsidRDefault="00841332" w:rsidP="00841332">
      <w:pPr>
        <w:pStyle w:val="SectionBody"/>
      </w:pPr>
      <w:r>
        <w:t>(a) Notwithstanding any other provision of law or this code to the contrary, the commission, council and governing boards each may sell, lease, convey or otherwise dispose of all or part of any real property that it owns, either by contract or at public auction, and shall retain the proceeds of the transaction</w:t>
      </w:r>
      <w:r w:rsidR="00D44A32">
        <w:t>.</w:t>
      </w:r>
    </w:p>
    <w:p w14:paraId="4CD45901" w14:textId="42C6FB56" w:rsidR="00841332" w:rsidRDefault="00D44A32" w:rsidP="00841332">
      <w:pPr>
        <w:pStyle w:val="SectionBody"/>
      </w:pPr>
      <w:r w:rsidRPr="00D44A32">
        <w:t>T</w:t>
      </w:r>
      <w:r w:rsidR="00841332">
        <w:t xml:space="preserve">he commission, council and governing boards may not sell, convey or otherwise dispose of any real property </w:t>
      </w:r>
      <w:r w:rsidR="00841332" w:rsidRPr="00841332">
        <w:rPr>
          <w:u w:val="single"/>
        </w:rPr>
        <w:t xml:space="preserve">purchased </w:t>
      </w:r>
      <w:r w:rsidR="009F64D8">
        <w:rPr>
          <w:u w:val="single"/>
        </w:rPr>
        <w:t xml:space="preserve">with public funds </w:t>
      </w:r>
      <w:r w:rsidR="00841332" w:rsidRPr="00841332">
        <w:rPr>
          <w:u w:val="single"/>
        </w:rPr>
        <w:t xml:space="preserve">by the commission, council and governing boards, or other public body, </w:t>
      </w:r>
      <w:r w:rsidR="00841332">
        <w:t xml:space="preserve">without first performing the following </w:t>
      </w:r>
      <w:r w:rsidR="00841332" w:rsidRPr="00841332">
        <w:rPr>
          <w:u w:val="single"/>
        </w:rPr>
        <w:t>applicable</w:t>
      </w:r>
      <w:r w:rsidR="00841332" w:rsidRPr="00841332">
        <w:t xml:space="preserve"> </w:t>
      </w:r>
      <w:r w:rsidR="00841332">
        <w:t>steps:</w:t>
      </w:r>
    </w:p>
    <w:p w14:paraId="09674CBD" w14:textId="14E7B27F" w:rsidR="00841332" w:rsidRDefault="00841332" w:rsidP="00841332">
      <w:pPr>
        <w:pStyle w:val="SectionBody"/>
      </w:pPr>
      <w:r>
        <w:t xml:space="preserve">(1) </w:t>
      </w:r>
      <w:r w:rsidR="00D44A32" w:rsidRPr="00841332">
        <w:rPr>
          <w:u w:val="single"/>
        </w:rPr>
        <w:t>In the event of a sale by contract, without first</w:t>
      </w:r>
      <w:r w:rsidR="00D44A32" w:rsidRPr="00D44A32">
        <w:t xml:space="preserve"> </w:t>
      </w:r>
      <w:r w:rsidR="00D44A32" w:rsidRPr="00D44A32">
        <w:rPr>
          <w:strike/>
        </w:rPr>
        <w:t>P</w:t>
      </w:r>
      <w:r w:rsidRPr="00D44A32">
        <w:rPr>
          <w:strike/>
        </w:rPr>
        <w:t>roviding</w:t>
      </w:r>
      <w:r>
        <w:t xml:space="preserve"> </w:t>
      </w:r>
      <w:proofErr w:type="spellStart"/>
      <w:r w:rsidR="00D44A32" w:rsidRPr="00D44A32">
        <w:rPr>
          <w:u w:val="single"/>
        </w:rPr>
        <w:t>providing</w:t>
      </w:r>
      <w:proofErr w:type="spellEnd"/>
      <w:r w:rsidR="00D44A32">
        <w:t xml:space="preserve"> </w:t>
      </w:r>
      <w:r>
        <w:t>for property appraisal by two independent licensed appraisers. The property may not be sold for less than the average of the two appraisals;</w:t>
      </w:r>
    </w:p>
    <w:p w14:paraId="5AF7AC2D" w14:textId="67FA132B" w:rsidR="00841332" w:rsidRDefault="00841332" w:rsidP="00841332">
      <w:pPr>
        <w:pStyle w:val="SectionBody"/>
      </w:pPr>
      <w:r>
        <w:t xml:space="preserve">(2) Providing notice </w:t>
      </w:r>
      <w:r w:rsidRPr="00841332">
        <w:rPr>
          <w:u w:val="single"/>
        </w:rPr>
        <w:t>of the sale</w:t>
      </w:r>
      <w:r w:rsidRPr="00841332">
        <w:t xml:space="preserve"> </w:t>
      </w:r>
      <w:r>
        <w:t xml:space="preserve">to the public in the county in which the real property is located by a Class II legal advertisement pursuant to </w:t>
      </w:r>
      <w:r w:rsidR="00D44A32">
        <w:t>§59-3-2</w:t>
      </w:r>
      <w:r>
        <w:t xml:space="preserve"> of this code;</w:t>
      </w:r>
    </w:p>
    <w:p w14:paraId="6A95190E" w14:textId="77777777" w:rsidR="00841332" w:rsidRPr="00841332" w:rsidRDefault="00841332" w:rsidP="00841332">
      <w:pPr>
        <w:pStyle w:val="SectionBody"/>
        <w:rPr>
          <w:u w:val="single"/>
        </w:rPr>
      </w:pPr>
      <w:r>
        <w:t xml:space="preserve">(3) Holding a public hearing on the issue in the county in which the real property is located; </w:t>
      </w:r>
      <w:r>
        <w:rPr>
          <w:u w:val="single"/>
        </w:rPr>
        <w:t>and</w:t>
      </w:r>
    </w:p>
    <w:p w14:paraId="74EF1EB3" w14:textId="77777777" w:rsidR="00841332" w:rsidRDefault="00841332" w:rsidP="00841332">
      <w:pPr>
        <w:pStyle w:val="SectionBody"/>
      </w:pPr>
      <w:r>
        <w:t xml:space="preserve">(4) </w:t>
      </w:r>
      <w:r w:rsidRPr="00841332">
        <w:rPr>
          <w:strike/>
        </w:rPr>
        <w:t>For real property with a proposed sale price of $50,000 or greater, ten days prior to the placement of the Class II legal advertisement, providing written notice to the county commission and municipalities in the county in which the real estate property is located and all members of the Legislature, and</w:t>
      </w:r>
    </w:p>
    <w:p w14:paraId="1479B975" w14:textId="77777777" w:rsidR="00841332" w:rsidRDefault="00841332" w:rsidP="00841332">
      <w:pPr>
        <w:pStyle w:val="SectionBody"/>
      </w:pPr>
      <w:r w:rsidRPr="00841332">
        <w:rPr>
          <w:strike/>
        </w:rPr>
        <w:t>(5)</w:t>
      </w:r>
      <w:r>
        <w:t xml:space="preserve"> In the case of the commission, notifying the Joint Committee on Government and </w:t>
      </w:r>
      <w:r>
        <w:lastRenderedPageBreak/>
        <w:t>Finance.</w:t>
      </w:r>
    </w:p>
    <w:p w14:paraId="1CCC7DB8" w14:textId="77777777" w:rsidR="00841332" w:rsidRDefault="00841332" w:rsidP="00841332">
      <w:pPr>
        <w:pStyle w:val="SectionBody"/>
      </w:pPr>
      <w:r>
        <w:t xml:space="preserve">(b) The commission, council or a governing board may not lease real property for an annual amount of greater than </w:t>
      </w:r>
      <w:r w:rsidRPr="00841332">
        <w:rPr>
          <w:strike/>
        </w:rPr>
        <w:t>$50,000</w:t>
      </w:r>
      <w:r>
        <w:t xml:space="preserve"> </w:t>
      </w:r>
      <w:r>
        <w:rPr>
          <w:u w:val="single"/>
        </w:rPr>
        <w:t xml:space="preserve">$150,000 </w:t>
      </w:r>
      <w:r>
        <w:t xml:space="preserve">without satisfying the obligations of subdivisions (2) </w:t>
      </w:r>
      <w:r w:rsidRPr="00841332">
        <w:rPr>
          <w:strike/>
        </w:rPr>
        <w:t>to (4)</w:t>
      </w:r>
      <w:r>
        <w:t xml:space="preserve"> </w:t>
      </w:r>
      <w:r>
        <w:rPr>
          <w:u w:val="single"/>
        </w:rPr>
        <w:t xml:space="preserve">and (3) </w:t>
      </w:r>
      <w:r>
        <w:t>of subsection (a) of this section.</w:t>
      </w:r>
    </w:p>
    <w:p w14:paraId="6BFFC8DE" w14:textId="77777777" w:rsidR="00841332" w:rsidRDefault="00841332" w:rsidP="00841332">
      <w:pPr>
        <w:pStyle w:val="SectionBody"/>
      </w:pPr>
      <w:r w:rsidRPr="00D861B8">
        <w:rPr>
          <w:u w:val="single"/>
        </w:rPr>
        <w:t xml:space="preserve">(c) </w:t>
      </w:r>
      <w:r w:rsidRPr="00841332">
        <w:rPr>
          <w:u w:val="single"/>
        </w:rPr>
        <w:t>The commission, council or a governing board may not sell, convey or otherwise dispose of any real property that was gifted or devised to it without first satisfying the obligations of subdivisions (2) to and (3) of subsection (a) of this section.</w:t>
      </w:r>
    </w:p>
    <w:p w14:paraId="4EC9E25C" w14:textId="4DF7D9B2" w:rsidR="008736AA" w:rsidRDefault="00D44A32" w:rsidP="00841332">
      <w:pPr>
        <w:pStyle w:val="SectionBody"/>
      </w:pPr>
      <w:r w:rsidRPr="00D44A32">
        <w:rPr>
          <w:strike/>
        </w:rPr>
        <w:t>(c)</w:t>
      </w:r>
      <w:r w:rsidRPr="00D44A32">
        <w:t xml:space="preserve"> </w:t>
      </w:r>
      <w:r w:rsidR="00841332">
        <w:rPr>
          <w:u w:val="single"/>
        </w:rPr>
        <w:t xml:space="preserve">(d) </w:t>
      </w:r>
      <w:r w:rsidR="00841332">
        <w:t>The commission, council or a governing board shall deposit the net proceeds from the sale, conveyance or other disposal of real property into a special revenue account in the State Treasury to the credit of the commission, council, or governing board that sold, conveyed or otherwise disposed of the real property.</w:t>
      </w:r>
    </w:p>
    <w:p w14:paraId="31FDCB0D" w14:textId="1BC0A306" w:rsidR="00841332" w:rsidRPr="00841332" w:rsidRDefault="00841332" w:rsidP="00841332">
      <w:pPr>
        <w:pStyle w:val="SectionBody"/>
        <w:rPr>
          <w:u w:val="single"/>
        </w:rPr>
      </w:pPr>
      <w:r w:rsidRPr="00841332">
        <w:rPr>
          <w:u w:val="single"/>
        </w:rPr>
        <w:t xml:space="preserve">(e) Transactions between the commission, council, or governing boards and any other public body shall be solely subject to </w:t>
      </w:r>
      <w:r w:rsidR="009F64D8">
        <w:rPr>
          <w:u w:val="single"/>
        </w:rPr>
        <w:t xml:space="preserve">article five, chapter one </w:t>
      </w:r>
      <w:r w:rsidRPr="00841332">
        <w:rPr>
          <w:u w:val="single"/>
        </w:rPr>
        <w:t>of this code.</w:t>
      </w:r>
    </w:p>
    <w:p w14:paraId="70636D37" w14:textId="50CF65B4" w:rsidR="00841332" w:rsidRPr="00841332" w:rsidRDefault="00841332" w:rsidP="00841332">
      <w:pPr>
        <w:pStyle w:val="SectionBody"/>
        <w:rPr>
          <w:u w:val="single"/>
        </w:rPr>
      </w:pPr>
      <w:r w:rsidRPr="00841332">
        <w:rPr>
          <w:u w:val="single"/>
        </w:rPr>
        <w:t>(f) Transactions between governing boards and corporations defined in</w:t>
      </w:r>
      <w:r>
        <w:rPr>
          <w:u w:val="single"/>
        </w:rPr>
        <w:t xml:space="preserve"> §</w:t>
      </w:r>
      <w:proofErr w:type="spellStart"/>
      <w:r>
        <w:rPr>
          <w:u w:val="single"/>
        </w:rPr>
        <w:t>18</w:t>
      </w:r>
      <w:r w:rsidR="00191270">
        <w:rPr>
          <w:u w:val="single"/>
        </w:rPr>
        <w:t>B</w:t>
      </w:r>
      <w:proofErr w:type="spellEnd"/>
      <w:r>
        <w:rPr>
          <w:u w:val="single"/>
        </w:rPr>
        <w:t>-12-1</w:t>
      </w:r>
      <w:r w:rsidRPr="00841332">
        <w:rPr>
          <w:u w:val="single"/>
        </w:rPr>
        <w:t xml:space="preserve"> of this code shall be solely subject to </w:t>
      </w:r>
      <w:r>
        <w:rPr>
          <w:u w:val="single"/>
        </w:rPr>
        <w:t>§</w:t>
      </w:r>
      <w:proofErr w:type="spellStart"/>
      <w:r>
        <w:rPr>
          <w:u w:val="single"/>
        </w:rPr>
        <w:t>18</w:t>
      </w:r>
      <w:r w:rsidR="00191270">
        <w:rPr>
          <w:u w:val="single"/>
        </w:rPr>
        <w:t>B</w:t>
      </w:r>
      <w:proofErr w:type="spellEnd"/>
      <w:r>
        <w:rPr>
          <w:u w:val="single"/>
        </w:rPr>
        <w:t xml:space="preserve">-12-1 </w:t>
      </w:r>
      <w:r>
        <w:rPr>
          <w:i/>
          <w:u w:val="single"/>
        </w:rPr>
        <w:t xml:space="preserve">et. seq. </w:t>
      </w:r>
      <w:r w:rsidRPr="00841332">
        <w:rPr>
          <w:u w:val="single"/>
        </w:rPr>
        <w:t>of this code.</w:t>
      </w:r>
    </w:p>
    <w:p w14:paraId="3161B95D" w14:textId="77777777" w:rsidR="00C33014" w:rsidRDefault="00C33014" w:rsidP="00CC1F3B">
      <w:pPr>
        <w:pStyle w:val="Note"/>
      </w:pPr>
    </w:p>
    <w:p w14:paraId="0D10EB4C" w14:textId="77777777" w:rsidR="006865E9" w:rsidRDefault="00CF1DCA" w:rsidP="00CC1F3B">
      <w:pPr>
        <w:pStyle w:val="Note"/>
      </w:pPr>
      <w:r>
        <w:t>NOTE: The</w:t>
      </w:r>
      <w:r w:rsidR="006865E9">
        <w:t xml:space="preserve"> purpose of this bill is to </w:t>
      </w:r>
      <w:r w:rsidR="00841332">
        <w:t>update the required procedures for an institution of higher education to sell and transfer property.</w:t>
      </w:r>
    </w:p>
    <w:p w14:paraId="5D1F732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13F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BB19" w14:textId="77777777" w:rsidR="00643095" w:rsidRPr="00B844FE" w:rsidRDefault="00643095" w:rsidP="00B844FE">
      <w:r>
        <w:separator/>
      </w:r>
    </w:p>
  </w:endnote>
  <w:endnote w:type="continuationSeparator" w:id="0">
    <w:p w14:paraId="44B72AF2" w14:textId="77777777" w:rsidR="00643095" w:rsidRPr="00B844FE" w:rsidRDefault="006430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B46E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045C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DABEA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0D66" w14:textId="77777777" w:rsidR="00643095" w:rsidRPr="00B844FE" w:rsidRDefault="00643095" w:rsidP="00B844FE">
      <w:r>
        <w:separator/>
      </w:r>
    </w:p>
  </w:footnote>
  <w:footnote w:type="continuationSeparator" w:id="0">
    <w:p w14:paraId="7745D807" w14:textId="77777777" w:rsidR="00643095" w:rsidRPr="00B844FE" w:rsidRDefault="006430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7683" w14:textId="77777777" w:rsidR="002A0269" w:rsidRPr="00B844FE" w:rsidRDefault="00E8656C">
    <w:pPr>
      <w:pStyle w:val="Header"/>
    </w:pPr>
    <w:sdt>
      <w:sdtPr>
        <w:id w:val="-684364211"/>
        <w:placeholder>
          <w:docPart w:val="90ED21B8C208488AA9A30ED369FBDE4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0ED21B8C208488AA9A30ED369FBDE4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CD1D" w14:textId="1A1C2842"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EC2E08">
      <w:t>SB</w:t>
    </w:r>
    <w:r w:rsidR="00AF0923">
      <w:t xml:space="preserve"> 88</w:t>
    </w:r>
    <w:r w:rsidR="0061469F">
      <w:t>1</w:t>
    </w:r>
    <w:r w:rsidR="00C33014" w:rsidRPr="002A0269">
      <w:ptab w:relativeTo="margin" w:alignment="center" w:leader="none"/>
    </w:r>
    <w:r w:rsidR="00C33014">
      <w:tab/>
    </w:r>
    <w:sdt>
      <w:sdtPr>
        <w:alias w:val="CBD Number"/>
        <w:tag w:val="CBD Number"/>
        <w:id w:val="1176923086"/>
        <w:lock w:val="sdtLocked"/>
        <w:text/>
      </w:sdtPr>
      <w:sdtEndPr/>
      <w:sdtContent>
        <w:proofErr w:type="spellStart"/>
        <w:r w:rsidR="00EC2E08">
          <w:t>2025R4003</w:t>
        </w:r>
        <w:proofErr w:type="spellEnd"/>
      </w:sdtContent>
    </w:sdt>
  </w:p>
  <w:p w14:paraId="152B791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CE0" w14:textId="77A69B30" w:rsidR="002A0269" w:rsidRPr="002A0269" w:rsidRDefault="00E8656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8015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2220348">
    <w:abstractNumId w:val="0"/>
  </w:num>
  <w:num w:numId="2" w16cid:durableId="24110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32"/>
    <w:rsid w:val="000031CF"/>
    <w:rsid w:val="0000526A"/>
    <w:rsid w:val="000573A9"/>
    <w:rsid w:val="00085D22"/>
    <w:rsid w:val="000C5C77"/>
    <w:rsid w:val="000E3912"/>
    <w:rsid w:val="0010070F"/>
    <w:rsid w:val="001237AD"/>
    <w:rsid w:val="00136994"/>
    <w:rsid w:val="0015112E"/>
    <w:rsid w:val="001552E7"/>
    <w:rsid w:val="001566B4"/>
    <w:rsid w:val="00185210"/>
    <w:rsid w:val="00191270"/>
    <w:rsid w:val="001A66B7"/>
    <w:rsid w:val="001C279E"/>
    <w:rsid w:val="001D459E"/>
    <w:rsid w:val="00204FD4"/>
    <w:rsid w:val="00221E6C"/>
    <w:rsid w:val="0026718A"/>
    <w:rsid w:val="0027011C"/>
    <w:rsid w:val="00274200"/>
    <w:rsid w:val="00275740"/>
    <w:rsid w:val="002A0269"/>
    <w:rsid w:val="00303684"/>
    <w:rsid w:val="003143F5"/>
    <w:rsid w:val="00314854"/>
    <w:rsid w:val="00351F49"/>
    <w:rsid w:val="00390403"/>
    <w:rsid w:val="00394191"/>
    <w:rsid w:val="003C51CD"/>
    <w:rsid w:val="004357B6"/>
    <w:rsid w:val="004368E0"/>
    <w:rsid w:val="004C13DD"/>
    <w:rsid w:val="004E3441"/>
    <w:rsid w:val="00500579"/>
    <w:rsid w:val="005A5366"/>
    <w:rsid w:val="0061469F"/>
    <w:rsid w:val="00634D7C"/>
    <w:rsid w:val="006369EB"/>
    <w:rsid w:val="00637E73"/>
    <w:rsid w:val="00643095"/>
    <w:rsid w:val="006865E9"/>
    <w:rsid w:val="00691F3E"/>
    <w:rsid w:val="006926D3"/>
    <w:rsid w:val="00694BFB"/>
    <w:rsid w:val="006A106B"/>
    <w:rsid w:val="006C523D"/>
    <w:rsid w:val="006D4036"/>
    <w:rsid w:val="006F767D"/>
    <w:rsid w:val="00716E7A"/>
    <w:rsid w:val="007A5259"/>
    <w:rsid w:val="007A7081"/>
    <w:rsid w:val="007F1CF5"/>
    <w:rsid w:val="00813FAC"/>
    <w:rsid w:val="00834EDE"/>
    <w:rsid w:val="00841332"/>
    <w:rsid w:val="008736AA"/>
    <w:rsid w:val="008D275D"/>
    <w:rsid w:val="008F5933"/>
    <w:rsid w:val="00913BC8"/>
    <w:rsid w:val="009404A8"/>
    <w:rsid w:val="0097602E"/>
    <w:rsid w:val="00980327"/>
    <w:rsid w:val="00986478"/>
    <w:rsid w:val="009B5557"/>
    <w:rsid w:val="009F1067"/>
    <w:rsid w:val="009F64D8"/>
    <w:rsid w:val="00A31E01"/>
    <w:rsid w:val="00A527AD"/>
    <w:rsid w:val="00A6308E"/>
    <w:rsid w:val="00A718CF"/>
    <w:rsid w:val="00AE48A0"/>
    <w:rsid w:val="00AE61BE"/>
    <w:rsid w:val="00AF0923"/>
    <w:rsid w:val="00B16F25"/>
    <w:rsid w:val="00B24422"/>
    <w:rsid w:val="00B3122E"/>
    <w:rsid w:val="00B46093"/>
    <w:rsid w:val="00B66B81"/>
    <w:rsid w:val="00B80C20"/>
    <w:rsid w:val="00B82FA2"/>
    <w:rsid w:val="00B844FE"/>
    <w:rsid w:val="00B86B4F"/>
    <w:rsid w:val="00BA1F84"/>
    <w:rsid w:val="00BC562B"/>
    <w:rsid w:val="00C33014"/>
    <w:rsid w:val="00C33434"/>
    <w:rsid w:val="00C34869"/>
    <w:rsid w:val="00C42EB6"/>
    <w:rsid w:val="00C75A96"/>
    <w:rsid w:val="00C85096"/>
    <w:rsid w:val="00CB20EF"/>
    <w:rsid w:val="00CC1F3B"/>
    <w:rsid w:val="00CD12CB"/>
    <w:rsid w:val="00CD36CF"/>
    <w:rsid w:val="00CD3BCE"/>
    <w:rsid w:val="00CF1DCA"/>
    <w:rsid w:val="00D004D3"/>
    <w:rsid w:val="00D44A32"/>
    <w:rsid w:val="00D579FC"/>
    <w:rsid w:val="00D6563B"/>
    <w:rsid w:val="00D81C16"/>
    <w:rsid w:val="00D861B8"/>
    <w:rsid w:val="00DC15D6"/>
    <w:rsid w:val="00DE526B"/>
    <w:rsid w:val="00DE6FE9"/>
    <w:rsid w:val="00DF199D"/>
    <w:rsid w:val="00E0120D"/>
    <w:rsid w:val="00E01542"/>
    <w:rsid w:val="00E365F1"/>
    <w:rsid w:val="00E62F48"/>
    <w:rsid w:val="00E80151"/>
    <w:rsid w:val="00E831B3"/>
    <w:rsid w:val="00E8656C"/>
    <w:rsid w:val="00E90939"/>
    <w:rsid w:val="00E95FBC"/>
    <w:rsid w:val="00EC2E08"/>
    <w:rsid w:val="00EE70CB"/>
    <w:rsid w:val="00EF313C"/>
    <w:rsid w:val="00F24CF0"/>
    <w:rsid w:val="00F41CA2"/>
    <w:rsid w:val="00F443C0"/>
    <w:rsid w:val="00F62EFB"/>
    <w:rsid w:val="00F939A4"/>
    <w:rsid w:val="00FA7B09"/>
    <w:rsid w:val="00FD5B51"/>
    <w:rsid w:val="00FD69B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FB436"/>
  <w15:chartTrackingRefBased/>
  <w15:docId w15:val="{673FD69E-EA86-40AA-9C28-E8FE2B15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13FA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6\Documents\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A8DD78BBB47D99C2E5135E8D6BDF2"/>
        <w:category>
          <w:name w:val="General"/>
          <w:gallery w:val="placeholder"/>
        </w:category>
        <w:types>
          <w:type w:val="bbPlcHdr"/>
        </w:types>
        <w:behaviors>
          <w:behavior w:val="content"/>
        </w:behaviors>
        <w:guid w:val="{14D78F0B-0E30-4D0E-B113-F276DC338D75}"/>
      </w:docPartPr>
      <w:docPartBody>
        <w:p w:rsidR="00C330F5" w:rsidRDefault="00DA1CA2">
          <w:pPr>
            <w:pStyle w:val="B9EA8DD78BBB47D99C2E5135E8D6BDF2"/>
          </w:pPr>
          <w:r w:rsidRPr="00B844FE">
            <w:t>Prefix Text</w:t>
          </w:r>
        </w:p>
      </w:docPartBody>
    </w:docPart>
    <w:docPart>
      <w:docPartPr>
        <w:name w:val="90ED21B8C208488AA9A30ED369FBDE42"/>
        <w:category>
          <w:name w:val="General"/>
          <w:gallery w:val="placeholder"/>
        </w:category>
        <w:types>
          <w:type w:val="bbPlcHdr"/>
        </w:types>
        <w:behaviors>
          <w:behavior w:val="content"/>
        </w:behaviors>
        <w:guid w:val="{A4896BEE-0D00-4DC8-B1FB-347C6A5DD73F}"/>
      </w:docPartPr>
      <w:docPartBody>
        <w:p w:rsidR="00C330F5" w:rsidRDefault="00DA1CA2">
          <w:pPr>
            <w:pStyle w:val="90ED21B8C208488AA9A30ED369FBDE42"/>
          </w:pPr>
          <w:r w:rsidRPr="00B844FE">
            <w:t>[Type here]</w:t>
          </w:r>
        </w:p>
      </w:docPartBody>
    </w:docPart>
    <w:docPart>
      <w:docPartPr>
        <w:name w:val="7811535F7CDE41D285FE6005AAA4A0FE"/>
        <w:category>
          <w:name w:val="General"/>
          <w:gallery w:val="placeholder"/>
        </w:category>
        <w:types>
          <w:type w:val="bbPlcHdr"/>
        </w:types>
        <w:behaviors>
          <w:behavior w:val="content"/>
        </w:behaviors>
        <w:guid w:val="{73855BDB-942B-45F9-A53E-36E22CD386A6}"/>
      </w:docPartPr>
      <w:docPartBody>
        <w:p w:rsidR="00C330F5" w:rsidRDefault="00DA1CA2">
          <w:pPr>
            <w:pStyle w:val="7811535F7CDE41D285FE6005AAA4A0FE"/>
          </w:pPr>
          <w:r w:rsidRPr="00B844FE">
            <w:t>Number</w:t>
          </w:r>
        </w:p>
      </w:docPartBody>
    </w:docPart>
    <w:docPart>
      <w:docPartPr>
        <w:name w:val="CA2378CF8FE04AE3838A0DED22C4B9B3"/>
        <w:category>
          <w:name w:val="General"/>
          <w:gallery w:val="placeholder"/>
        </w:category>
        <w:types>
          <w:type w:val="bbPlcHdr"/>
        </w:types>
        <w:behaviors>
          <w:behavior w:val="content"/>
        </w:behaviors>
        <w:guid w:val="{0D46F0FC-931C-4AFA-B712-DFE9D22BFA8D}"/>
      </w:docPartPr>
      <w:docPartBody>
        <w:p w:rsidR="00C330F5" w:rsidRDefault="00DA1CA2">
          <w:pPr>
            <w:pStyle w:val="CA2378CF8FE04AE3838A0DED22C4B9B3"/>
          </w:pPr>
          <w:r w:rsidRPr="00B844FE">
            <w:t>Enter Sponsors Here</w:t>
          </w:r>
        </w:p>
      </w:docPartBody>
    </w:docPart>
    <w:docPart>
      <w:docPartPr>
        <w:name w:val="CDE2A8BFB334449CB29AF7A8F5ECA656"/>
        <w:category>
          <w:name w:val="General"/>
          <w:gallery w:val="placeholder"/>
        </w:category>
        <w:types>
          <w:type w:val="bbPlcHdr"/>
        </w:types>
        <w:behaviors>
          <w:behavior w:val="content"/>
        </w:behaviors>
        <w:guid w:val="{7D668EF1-E2F9-4334-8B57-B9B53E718E2B}"/>
      </w:docPartPr>
      <w:docPartBody>
        <w:p w:rsidR="00C330F5" w:rsidRDefault="00DA1CA2">
          <w:pPr>
            <w:pStyle w:val="CDE2A8BFB334449CB29AF7A8F5ECA6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A2"/>
    <w:rsid w:val="00221E6C"/>
    <w:rsid w:val="0026718A"/>
    <w:rsid w:val="004357B6"/>
    <w:rsid w:val="005E5643"/>
    <w:rsid w:val="00634D7C"/>
    <w:rsid w:val="008F5933"/>
    <w:rsid w:val="009404A8"/>
    <w:rsid w:val="0097602E"/>
    <w:rsid w:val="009F6968"/>
    <w:rsid w:val="00B46093"/>
    <w:rsid w:val="00C330F5"/>
    <w:rsid w:val="00D05986"/>
    <w:rsid w:val="00DA1CA2"/>
    <w:rsid w:val="00E90939"/>
    <w:rsid w:val="00F24CF0"/>
    <w:rsid w:val="00FD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EA8DD78BBB47D99C2E5135E8D6BDF2">
    <w:name w:val="B9EA8DD78BBB47D99C2E5135E8D6BDF2"/>
  </w:style>
  <w:style w:type="paragraph" w:customStyle="1" w:styleId="90ED21B8C208488AA9A30ED369FBDE42">
    <w:name w:val="90ED21B8C208488AA9A30ED369FBDE42"/>
  </w:style>
  <w:style w:type="paragraph" w:customStyle="1" w:styleId="7811535F7CDE41D285FE6005AAA4A0FE">
    <w:name w:val="7811535F7CDE41D285FE6005AAA4A0FE"/>
  </w:style>
  <w:style w:type="paragraph" w:customStyle="1" w:styleId="CA2378CF8FE04AE3838A0DED22C4B9B3">
    <w:name w:val="CA2378CF8FE04AE3838A0DED22C4B9B3"/>
  </w:style>
  <w:style w:type="character" w:styleId="PlaceholderText">
    <w:name w:val="Placeholder Text"/>
    <w:basedOn w:val="DefaultParagraphFont"/>
    <w:uiPriority w:val="99"/>
    <w:semiHidden/>
    <w:rPr>
      <w:color w:val="808080"/>
    </w:rPr>
  </w:style>
  <w:style w:type="paragraph" w:customStyle="1" w:styleId="CDE2A8BFB334449CB29AF7A8F5ECA656">
    <w:name w:val="CDE2A8BFB334449CB29AF7A8F5ECA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2BD60-E6DA-4399-8B5D-03667660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7</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Bailey</dc:creator>
  <cp:keywords/>
  <dc:description/>
  <cp:lastModifiedBy>Kristin Jones</cp:lastModifiedBy>
  <cp:revision>10</cp:revision>
  <cp:lastPrinted>2025-02-06T19:29:00Z</cp:lastPrinted>
  <dcterms:created xsi:type="dcterms:W3CDTF">2025-03-18T14:30:00Z</dcterms:created>
  <dcterms:modified xsi:type="dcterms:W3CDTF">2025-03-24T20:04:00Z</dcterms:modified>
</cp:coreProperties>
</file>